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8037" w14:textId="77777777" w:rsidR="004163F4" w:rsidRDefault="00A853D4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right" w:pos="9634"/>
        </w:tabs>
        <w:spacing w:after="9" w:line="249" w:lineRule="auto"/>
        <w:ind w:left="-15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Ε.Ε. Παρ. Ι(Ι) </w:t>
      </w:r>
      <w:r>
        <w:rPr>
          <w:rFonts w:ascii="Arial" w:eastAsia="Arial" w:hAnsi="Arial" w:cs="Arial"/>
          <w:b/>
          <w:sz w:val="18"/>
        </w:rPr>
        <w:tab/>
        <w:t xml:space="preserve">  </w:t>
      </w:r>
    </w:p>
    <w:p w14:paraId="4602AFFB" w14:textId="2C249568" w:rsidR="00954F42" w:rsidRDefault="00A853D4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right" w:pos="9634"/>
        </w:tabs>
        <w:spacing w:after="9" w:line="249" w:lineRule="auto"/>
        <w:ind w:left="-15"/>
      </w:pPr>
      <w:r>
        <w:rPr>
          <w:rFonts w:ascii="Arial" w:eastAsia="Arial" w:hAnsi="Arial" w:cs="Arial"/>
          <w:b/>
          <w:sz w:val="18"/>
        </w:rPr>
        <w:t xml:space="preserve">Ν. 105(Ι)/2018 </w:t>
      </w:r>
    </w:p>
    <w:p w14:paraId="7025F9B0" w14:textId="1884AA4E" w:rsidR="00954F42" w:rsidRDefault="00A853D4">
      <w:pPr>
        <w:spacing w:after="51" w:line="249" w:lineRule="auto"/>
        <w:ind w:left="-5" w:hanging="10"/>
        <w:jc w:val="both"/>
      </w:pPr>
      <w:proofErr w:type="spellStart"/>
      <w:r>
        <w:rPr>
          <w:rFonts w:ascii="Arial" w:eastAsia="Arial" w:hAnsi="Arial" w:cs="Arial"/>
          <w:b/>
          <w:sz w:val="18"/>
        </w:rPr>
        <w:t>Αρ</w:t>
      </w:r>
      <w:proofErr w:type="spellEnd"/>
      <w:r>
        <w:rPr>
          <w:rFonts w:ascii="Arial" w:eastAsia="Arial" w:hAnsi="Arial" w:cs="Arial"/>
          <w:b/>
          <w:sz w:val="18"/>
        </w:rPr>
        <w:t xml:space="preserve">. 4668, 25.7.2018      </w:t>
      </w:r>
    </w:p>
    <w:p w14:paraId="4D4CA68B" w14:textId="77777777" w:rsidR="004163F4" w:rsidRDefault="004163F4" w:rsidP="004163F4">
      <w:pPr>
        <w:spacing w:after="9" w:line="249" w:lineRule="auto"/>
        <w:ind w:left="-15"/>
        <w:jc w:val="both"/>
        <w:rPr>
          <w:rFonts w:ascii="Arial" w:eastAsia="Arial" w:hAnsi="Arial" w:cs="Arial"/>
          <w:b/>
          <w:sz w:val="18"/>
        </w:rPr>
      </w:pPr>
    </w:p>
    <w:p w14:paraId="7BE8B60B" w14:textId="1A0946DE" w:rsidR="00954F42" w:rsidRDefault="00A853D4" w:rsidP="004163F4">
      <w:pPr>
        <w:spacing w:after="9" w:line="249" w:lineRule="auto"/>
        <w:ind w:left="-15"/>
        <w:jc w:val="center"/>
      </w:pPr>
      <w:bookmarkStart w:id="0" w:name="_GoBack"/>
      <w:r>
        <w:rPr>
          <w:rFonts w:ascii="Arial" w:eastAsia="Arial" w:hAnsi="Arial" w:cs="Arial"/>
          <w:b/>
          <w:sz w:val="18"/>
        </w:rPr>
        <w:t>Ο π</w:t>
      </w:r>
      <w:proofErr w:type="spellStart"/>
      <w:r>
        <w:rPr>
          <w:rFonts w:ascii="Arial" w:eastAsia="Arial" w:hAnsi="Arial" w:cs="Arial"/>
          <w:b/>
          <w:sz w:val="18"/>
        </w:rPr>
        <w:t>ερί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Πρόσληψης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Ατόμων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με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Αν</w:t>
      </w:r>
      <w:proofErr w:type="spellEnd"/>
      <w:r>
        <w:rPr>
          <w:rFonts w:ascii="Arial" w:eastAsia="Arial" w:hAnsi="Arial" w:cs="Arial"/>
          <w:b/>
          <w:sz w:val="18"/>
        </w:rPr>
        <w:t xml:space="preserve">απηρίες </w:t>
      </w:r>
      <w:proofErr w:type="spellStart"/>
      <w:r>
        <w:rPr>
          <w:rFonts w:ascii="Arial" w:eastAsia="Arial" w:hAnsi="Arial" w:cs="Arial"/>
          <w:b/>
          <w:sz w:val="18"/>
        </w:rPr>
        <w:t>στον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Ευρύτερο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Δημόσιο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Τομέ</w:t>
      </w:r>
      <w:proofErr w:type="spellEnd"/>
      <w:r>
        <w:rPr>
          <w:rFonts w:ascii="Arial" w:eastAsia="Arial" w:hAnsi="Arial" w:cs="Arial"/>
          <w:b/>
          <w:sz w:val="18"/>
        </w:rPr>
        <w:t>α (</w:t>
      </w:r>
      <w:proofErr w:type="spellStart"/>
      <w:r>
        <w:rPr>
          <w:rFonts w:ascii="Arial" w:eastAsia="Arial" w:hAnsi="Arial" w:cs="Arial"/>
          <w:b/>
          <w:sz w:val="18"/>
        </w:rPr>
        <w:t>Ειδικές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Δι</w:t>
      </w:r>
      <w:proofErr w:type="spellEnd"/>
      <w:r>
        <w:rPr>
          <w:rFonts w:ascii="Arial" w:eastAsia="Arial" w:hAnsi="Arial" w:cs="Arial"/>
          <w:b/>
          <w:sz w:val="18"/>
        </w:rPr>
        <w:t>ατάξεις) (</w:t>
      </w:r>
      <w:proofErr w:type="spellStart"/>
      <w:r>
        <w:rPr>
          <w:rFonts w:ascii="Arial" w:eastAsia="Arial" w:hAnsi="Arial" w:cs="Arial"/>
          <w:b/>
          <w:sz w:val="18"/>
        </w:rPr>
        <w:t>Τρο</w:t>
      </w:r>
      <w:proofErr w:type="spellEnd"/>
      <w:r>
        <w:rPr>
          <w:rFonts w:ascii="Arial" w:eastAsia="Arial" w:hAnsi="Arial" w:cs="Arial"/>
          <w:b/>
          <w:sz w:val="18"/>
        </w:rPr>
        <w:t xml:space="preserve">ποποιητικός) </w:t>
      </w:r>
      <w:proofErr w:type="spellStart"/>
      <w:r>
        <w:rPr>
          <w:rFonts w:ascii="Arial" w:eastAsia="Arial" w:hAnsi="Arial" w:cs="Arial"/>
          <w:b/>
          <w:sz w:val="18"/>
        </w:rPr>
        <w:t>Νόμος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του</w:t>
      </w:r>
      <w:proofErr w:type="spellEnd"/>
      <w:r>
        <w:rPr>
          <w:rFonts w:ascii="Arial" w:eastAsia="Arial" w:hAnsi="Arial" w:cs="Arial"/>
          <w:b/>
          <w:sz w:val="18"/>
        </w:rPr>
        <w:t xml:space="preserve"> 2018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εκδίδετ</w:t>
      </w:r>
      <w:proofErr w:type="spellEnd"/>
      <w:r>
        <w:rPr>
          <w:rFonts w:ascii="Arial" w:eastAsia="Arial" w:hAnsi="Arial" w:cs="Arial"/>
          <w:b/>
          <w:sz w:val="18"/>
        </w:rPr>
        <w:t xml:space="preserve">αι </w:t>
      </w:r>
      <w:proofErr w:type="spellStart"/>
      <w:r>
        <w:rPr>
          <w:rFonts w:ascii="Arial" w:eastAsia="Arial" w:hAnsi="Arial" w:cs="Arial"/>
          <w:b/>
          <w:sz w:val="18"/>
        </w:rPr>
        <w:t>με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δημοσίευση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στην</w:t>
      </w:r>
      <w:proofErr w:type="spellEnd"/>
      <w:r>
        <w:rPr>
          <w:rFonts w:ascii="Arial" w:eastAsia="Arial" w:hAnsi="Arial" w:cs="Arial"/>
          <w:b/>
          <w:sz w:val="18"/>
        </w:rPr>
        <w:t xml:space="preserve"> Επ</w:t>
      </w:r>
      <w:proofErr w:type="spellStart"/>
      <w:r>
        <w:rPr>
          <w:rFonts w:ascii="Arial" w:eastAsia="Arial" w:hAnsi="Arial" w:cs="Arial"/>
          <w:b/>
          <w:sz w:val="18"/>
        </w:rPr>
        <w:t>ίσημη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Εφημερίδ</w:t>
      </w:r>
      <w:proofErr w:type="spellEnd"/>
      <w:r>
        <w:rPr>
          <w:rFonts w:ascii="Arial" w:eastAsia="Arial" w:hAnsi="Arial" w:cs="Arial"/>
          <w:b/>
          <w:sz w:val="18"/>
        </w:rPr>
        <w:t xml:space="preserve">α της </w:t>
      </w:r>
      <w:proofErr w:type="spellStart"/>
      <w:r>
        <w:rPr>
          <w:rFonts w:ascii="Arial" w:eastAsia="Arial" w:hAnsi="Arial" w:cs="Arial"/>
          <w:b/>
          <w:sz w:val="18"/>
        </w:rPr>
        <w:t>Κυ</w:t>
      </w:r>
      <w:proofErr w:type="spellEnd"/>
      <w:r>
        <w:rPr>
          <w:rFonts w:ascii="Arial" w:eastAsia="Arial" w:hAnsi="Arial" w:cs="Arial"/>
          <w:b/>
          <w:sz w:val="18"/>
        </w:rPr>
        <w:t xml:space="preserve">πριακής </w:t>
      </w:r>
      <w:proofErr w:type="spellStart"/>
      <w:r>
        <w:rPr>
          <w:rFonts w:ascii="Arial" w:eastAsia="Arial" w:hAnsi="Arial" w:cs="Arial"/>
          <w:b/>
          <w:sz w:val="18"/>
        </w:rPr>
        <w:t>Δημοκρ</w:t>
      </w:r>
      <w:proofErr w:type="spellEnd"/>
      <w:r>
        <w:rPr>
          <w:rFonts w:ascii="Arial" w:eastAsia="Arial" w:hAnsi="Arial" w:cs="Arial"/>
          <w:b/>
          <w:sz w:val="18"/>
        </w:rPr>
        <w:t xml:space="preserve">ατίας </w:t>
      </w:r>
      <w:proofErr w:type="spellStart"/>
      <w:r>
        <w:rPr>
          <w:rFonts w:ascii="Arial" w:eastAsia="Arial" w:hAnsi="Arial" w:cs="Arial"/>
          <w:b/>
          <w:sz w:val="18"/>
        </w:rPr>
        <w:t>σύμφων</w:t>
      </w:r>
      <w:proofErr w:type="spellEnd"/>
      <w:r>
        <w:rPr>
          <w:rFonts w:ascii="Arial" w:eastAsia="Arial" w:hAnsi="Arial" w:cs="Arial"/>
          <w:b/>
          <w:sz w:val="18"/>
        </w:rPr>
        <w:t xml:space="preserve">α </w:t>
      </w:r>
      <w:proofErr w:type="spellStart"/>
      <w:r>
        <w:rPr>
          <w:rFonts w:ascii="Arial" w:eastAsia="Arial" w:hAnsi="Arial" w:cs="Arial"/>
          <w:b/>
          <w:sz w:val="18"/>
        </w:rPr>
        <w:t>με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το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Άρθρο</w:t>
      </w:r>
      <w:proofErr w:type="spellEnd"/>
      <w:r>
        <w:rPr>
          <w:rFonts w:ascii="Arial" w:eastAsia="Arial" w:hAnsi="Arial" w:cs="Arial"/>
          <w:b/>
          <w:sz w:val="18"/>
        </w:rPr>
        <w:t xml:space="preserve"> 52 </w:t>
      </w:r>
      <w:proofErr w:type="spellStart"/>
      <w:r>
        <w:rPr>
          <w:rFonts w:ascii="Arial" w:eastAsia="Arial" w:hAnsi="Arial" w:cs="Arial"/>
          <w:b/>
          <w:sz w:val="18"/>
        </w:rPr>
        <w:t>του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Συντάγμ</w:t>
      </w:r>
      <w:proofErr w:type="spellEnd"/>
      <w:r>
        <w:rPr>
          <w:rFonts w:ascii="Arial" w:eastAsia="Arial" w:hAnsi="Arial" w:cs="Arial"/>
          <w:b/>
          <w:sz w:val="18"/>
        </w:rPr>
        <w:t>ατος.</w:t>
      </w:r>
    </w:p>
    <w:bookmarkEnd w:id="0"/>
    <w:p w14:paraId="299CAD6C" w14:textId="34862A15" w:rsidR="00954F42" w:rsidRDefault="00A853D4">
      <w:pPr>
        <w:tabs>
          <w:tab w:val="center" w:pos="284"/>
          <w:tab w:val="center" w:pos="4915"/>
        </w:tabs>
        <w:spacing w:after="0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</w:p>
    <w:p w14:paraId="7AB5D196" w14:textId="77777777" w:rsidR="00954F42" w:rsidRDefault="00A853D4">
      <w:pPr>
        <w:spacing w:after="40" w:line="263" w:lineRule="auto"/>
        <w:ind w:left="17" w:right="-284" w:hanging="10"/>
        <w:jc w:val="center"/>
      </w:pPr>
      <w:proofErr w:type="spellStart"/>
      <w:r>
        <w:rPr>
          <w:rFonts w:ascii="Arial" w:eastAsia="Arial" w:hAnsi="Arial" w:cs="Arial"/>
          <w:sz w:val="18"/>
        </w:rPr>
        <w:t>Αριθμός</w:t>
      </w:r>
      <w:proofErr w:type="spellEnd"/>
      <w:r>
        <w:rPr>
          <w:rFonts w:ascii="Arial" w:eastAsia="Arial" w:hAnsi="Arial" w:cs="Arial"/>
          <w:sz w:val="18"/>
        </w:rPr>
        <w:t xml:space="preserve"> 105(Ι) </w:t>
      </w:r>
      <w:proofErr w:type="spellStart"/>
      <w:r>
        <w:rPr>
          <w:rFonts w:ascii="Arial" w:eastAsia="Arial" w:hAnsi="Arial" w:cs="Arial"/>
          <w:sz w:val="18"/>
        </w:rPr>
        <w:t>του</w:t>
      </w:r>
      <w:proofErr w:type="spellEnd"/>
      <w:r>
        <w:rPr>
          <w:rFonts w:ascii="Arial" w:eastAsia="Arial" w:hAnsi="Arial" w:cs="Arial"/>
          <w:sz w:val="18"/>
        </w:rPr>
        <w:t xml:space="preserve"> 2018 </w:t>
      </w:r>
    </w:p>
    <w:p w14:paraId="2C366107" w14:textId="77777777" w:rsidR="00954F42" w:rsidRDefault="00A853D4">
      <w:pPr>
        <w:spacing w:after="0" w:line="263" w:lineRule="auto"/>
        <w:ind w:left="17" w:right="7" w:hanging="10"/>
        <w:jc w:val="center"/>
      </w:pPr>
      <w:r>
        <w:rPr>
          <w:rFonts w:ascii="Arial" w:eastAsia="Arial" w:hAnsi="Arial" w:cs="Arial"/>
          <w:sz w:val="18"/>
        </w:rPr>
        <w:t xml:space="preserve">ΝΟΜΟΣ ΠΟΥ ΤΡΟΠΟΠΟΙΕΙ ΤΟΝ ΠΕΡΙ ΠΡΟΣΛΗΨΗΣ ΑΤΟΜΩΝ ΜΕ ΑΝΑΠΗΡΙΕΣ ΣΤΟΝ ΕΥΡΥΤΕΡΟ ΔΗΜΟΣΙΟ ΤΟΜΕΑ (ΕΙΔΙΚΕΣ ΔΙΑΤΑΞΕΙΣ) ΝΟΜΟ ΤΟΥ 2009 </w:t>
      </w:r>
    </w:p>
    <w:tbl>
      <w:tblPr>
        <w:tblStyle w:val="TableGrid"/>
        <w:tblW w:w="9665" w:type="dxa"/>
        <w:tblInd w:w="0" w:type="dxa"/>
        <w:tblLook w:val="04A0" w:firstRow="1" w:lastRow="0" w:firstColumn="1" w:lastColumn="0" w:noHBand="0" w:noVBand="1"/>
      </w:tblPr>
      <w:tblGrid>
        <w:gridCol w:w="1440"/>
        <w:gridCol w:w="269"/>
        <w:gridCol w:w="7956"/>
      </w:tblGrid>
      <w:tr w:rsidR="00954F42" w14:paraId="54655595" w14:textId="77777777">
        <w:trPr>
          <w:trHeight w:val="1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3514FF" w14:textId="77777777" w:rsidR="00954F42" w:rsidRDefault="00A853D4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 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873511B" w14:textId="77777777" w:rsidR="00954F42" w:rsidRDefault="00A853D4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3AFB43D0" w14:textId="77777777" w:rsidR="00954F42" w:rsidRDefault="00A853D4">
            <w:pPr>
              <w:ind w:left="45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954F42" w14:paraId="5C75A135" w14:textId="77777777">
        <w:trPr>
          <w:trHeight w:val="2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9118DC" w14:textId="77777777" w:rsidR="00954F42" w:rsidRDefault="00A853D4">
            <w:pPr>
              <w:ind w:left="2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F7380B2" w14:textId="77777777" w:rsidR="00954F42" w:rsidRDefault="00954F42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7D1CFF28" w14:textId="77777777" w:rsidR="00954F42" w:rsidRDefault="00A853D4">
            <w:pPr>
              <w:ind w:left="276"/>
            </w:pPr>
            <w:r>
              <w:rPr>
                <w:rFonts w:ascii="Arial" w:eastAsia="Arial" w:hAnsi="Arial" w:cs="Arial"/>
                <w:sz w:val="18"/>
              </w:rPr>
              <w:t xml:space="preserve">Η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Βουλή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των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Αντι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προσώπων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ψηφίζει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ως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κολούθως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</w:tr>
      <w:tr w:rsidR="00954F42" w14:paraId="778A1999" w14:textId="77777777">
        <w:trPr>
          <w:trHeight w:val="20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B65BE0" w14:textId="77777777" w:rsidR="00954F42" w:rsidRDefault="00A853D4">
            <w:pPr>
              <w:ind w:left="2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9EF7040" w14:textId="77777777" w:rsidR="00954F42" w:rsidRDefault="00954F42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11B212DB" w14:textId="77777777" w:rsidR="00954F42" w:rsidRDefault="00A853D4">
            <w:pPr>
              <w:ind w:left="27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954F42" w14:paraId="51417D45" w14:textId="77777777">
        <w:trPr>
          <w:trHeight w:val="124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04EBB6" w14:textId="77777777" w:rsidR="00954F42" w:rsidRDefault="00A853D4">
            <w:pPr>
              <w:spacing w:after="2" w:line="239" w:lineRule="auto"/>
              <w:ind w:left="2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Συνο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πτικός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τίτλος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  <w:p w14:paraId="3FD35299" w14:textId="77777777" w:rsidR="00954F42" w:rsidRDefault="00A853D4">
            <w:pPr>
              <w:ind w:left="5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146(I)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2009. </w:t>
            </w:r>
          </w:p>
          <w:p w14:paraId="29149B3D" w14:textId="77777777" w:rsidR="00954F42" w:rsidRDefault="00A853D4">
            <w:pPr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6943CF8" w14:textId="77777777" w:rsidR="00954F42" w:rsidRDefault="00954F42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4FF3A659" w14:textId="77777777" w:rsidR="00954F42" w:rsidRDefault="00A853D4">
            <w:pPr>
              <w:ind w:right="51" w:firstLine="27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1. </w:t>
            </w:r>
            <w:r>
              <w:rPr>
                <w:rFonts w:ascii="Arial" w:eastAsia="Arial" w:hAnsi="Arial" w:cs="Arial"/>
                <w:sz w:val="18"/>
              </w:rPr>
              <w:t>Ο πα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ρών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θα ανα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φέρετ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αι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ως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ο 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ερί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Πρόσληψης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Ατόμων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με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απηρίες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στον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Ευρύτερο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Δημόσιο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Τομέ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Ειδικές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ατάξεις)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Τρο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ποποιητικός)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2018 και θα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αβάζεται μα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ζί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με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ερί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Πρόσληψης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Ατόμων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με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απηρίες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στον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Ευρύτερο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Δημόσιο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Τομέ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Ειδικές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ατάξεις)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2009  (π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στο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εξής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θα ανα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φέροντ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αι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ως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«ο βα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σικός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>») και ο βα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σικός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και ο πα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ρών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θα ανα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φέροντ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αι μα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ζί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ως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οι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ερί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Πρόσληψης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Ατόμων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με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Αν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απηρίες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στον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Ευρύτερο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Δημόσιο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Τομέ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Ειδικές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ατάξεις)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Νόμοι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2009 και 2018. </w:t>
            </w:r>
          </w:p>
        </w:tc>
      </w:tr>
      <w:tr w:rsidR="00954F42" w14:paraId="7C85EC30" w14:textId="77777777">
        <w:trPr>
          <w:trHeight w:val="20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6FB135" w14:textId="77777777" w:rsidR="00954F42" w:rsidRDefault="00A853D4">
            <w:pPr>
              <w:ind w:left="2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FEE22BB" w14:textId="77777777" w:rsidR="00954F42" w:rsidRDefault="00954F42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7DB75006" w14:textId="77777777" w:rsidR="00954F42" w:rsidRDefault="00A853D4">
            <w:pPr>
              <w:ind w:left="45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954F42" w14:paraId="4934329E" w14:textId="77777777">
        <w:trPr>
          <w:trHeight w:val="82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C2F0F0" w14:textId="77777777" w:rsidR="00954F42" w:rsidRDefault="00A853D4">
            <w:pPr>
              <w:ind w:left="24" w:right="17"/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Τρο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ποποίηση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άρθρου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βα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σικού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9A1F8A3" w14:textId="77777777" w:rsidR="00954F42" w:rsidRDefault="00954F42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45CC49B3" w14:textId="77777777" w:rsidR="00954F42" w:rsidRDefault="00A853D4">
            <w:pPr>
              <w:ind w:right="57" w:firstLine="27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2. </w:t>
            </w:r>
            <w:r>
              <w:rPr>
                <w:rFonts w:ascii="Arial" w:eastAsia="Arial" w:hAnsi="Arial" w:cs="Arial"/>
                <w:sz w:val="18"/>
              </w:rPr>
              <w:t xml:space="preserve">Η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δεύτερη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επ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ιφύλ</w:t>
            </w:r>
            <w:proofErr w:type="spellEnd"/>
            <w:r>
              <w:rPr>
                <w:rFonts w:ascii="Arial" w:eastAsia="Arial" w:hAnsi="Arial" w:cs="Arial"/>
                <w:sz w:val="18"/>
              </w:rPr>
              <w:t>αξη της παρα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γράφου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(γ)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άρθρου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βα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σικού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νόμου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τρο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ποποιείται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με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την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ντικ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ατάσταση της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φράσης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«κα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τά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ροηγούμενο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έτος</w:t>
            </w:r>
            <w:proofErr w:type="spellEnd"/>
            <w:r>
              <w:rPr>
                <w:rFonts w:ascii="Arial" w:eastAsia="Arial" w:hAnsi="Arial" w:cs="Arial"/>
                <w:sz w:val="18"/>
              </w:rPr>
              <w:t>» (π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έμ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πτη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γρ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αμμή)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με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τη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φράση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«κα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τά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τα π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ροηγούμεν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α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έτη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». </w:t>
            </w:r>
          </w:p>
        </w:tc>
      </w:tr>
      <w:tr w:rsidR="00954F42" w14:paraId="210CA081" w14:textId="77777777">
        <w:trPr>
          <w:trHeight w:val="1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86A206" w14:textId="77777777" w:rsidR="00954F42" w:rsidRDefault="00A853D4">
            <w:pPr>
              <w:ind w:left="2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202BD16" w14:textId="77777777" w:rsidR="00954F42" w:rsidRDefault="00954F42"/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14:paraId="2E1CC70A" w14:textId="77777777" w:rsidR="00954F42" w:rsidRDefault="00A853D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C762E7B" w14:textId="77777777" w:rsidR="00954F42" w:rsidRDefault="00A853D4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954F42">
      <w:pgSz w:w="11906" w:h="16838"/>
      <w:pgMar w:top="1440" w:right="11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42"/>
    <w:rsid w:val="004163F4"/>
    <w:rsid w:val="00954F42"/>
    <w:rsid w:val="00A8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3AFC"/>
  <w15:docId w15:val="{A04AA5AA-1199-471E-A252-C3CB592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Y" w:eastAsia="en-C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Georgiou</dc:creator>
  <cp:keywords/>
  <cp:lastModifiedBy>Maria Georgiou</cp:lastModifiedBy>
  <cp:revision>3</cp:revision>
  <dcterms:created xsi:type="dcterms:W3CDTF">2019-03-22T08:50:00Z</dcterms:created>
  <dcterms:modified xsi:type="dcterms:W3CDTF">2019-03-22T08:51:00Z</dcterms:modified>
</cp:coreProperties>
</file>